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Bräcke kommunfullmäktige</w:t>
      </w:r>
    </w:p>
    <w:p>
      <w:pPr>
        <w:pStyle w:val="Heading1"/>
      </w:pPr>
      <w:r>
        <w:t xml:space="preserve">Snabbare bygglovsprocesser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Bräcke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rankar Bräcke 240/290 i företagsklimat 2024, där handläggningstider är en svaghet. Långa tider hämmar nyetableringar och expansion. Enklare regler gynnar tillväxt i landsbygdskommun.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Bräcke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max 6 veckors handläggningstid för bygglov avseende näringsverksamhet.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e-tjänst för bygglov lanseras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kontaktperson utses för varje företag som söker tillstånd.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redovisning av handläggningstider lämnas till kommunfullmäktige.</w:t>
      </w:r>
    </w:p>
    <w:p>
      <w:pPr>
        <w:spacing w:before="360"/>
      </w:pPr>
    </w:p>
    <w:p>
      <w:r>
        <w:t xml:space="preserve">Bräcke,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Bräcke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2026-07-14T02:35:19.444Z</dcterms:created>
  <dcterms:modified xsi:type="dcterms:W3CDTF">2026-07-14T02:35:19.444Z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